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4179" w:rsidRDefault="00404179">
      <w:pPr>
        <w:rPr>
          <w:b/>
        </w:rPr>
      </w:pPr>
      <w:r>
        <w:rPr>
          <w:b/>
        </w:rPr>
        <w:t>Vademecum per viaggiare in sicurezza</w:t>
      </w:r>
    </w:p>
    <w:p w:rsidR="009B4F28" w:rsidRDefault="00404179">
      <w:pPr>
        <w:rPr>
          <w:b/>
        </w:rPr>
      </w:pPr>
      <w:r>
        <w:rPr>
          <w:b/>
        </w:rPr>
        <w:t>Alcune regole importanti per organizzare in sicurezza i</w:t>
      </w:r>
      <w:r w:rsidR="00D464C3">
        <w:rPr>
          <w:b/>
        </w:rPr>
        <w:t xml:space="preserve"> viaggi di istruzione</w:t>
      </w:r>
    </w:p>
    <w:p w:rsidR="00D464C3" w:rsidRDefault="00D464C3">
      <w:pPr>
        <w:rPr>
          <w:b/>
        </w:rPr>
      </w:pPr>
    </w:p>
    <w:p w:rsidR="00987538" w:rsidRDefault="00D464C3" w:rsidP="00D464C3">
      <w:pPr>
        <w:jc w:val="both"/>
      </w:pPr>
      <w:r w:rsidRPr="00D464C3">
        <w:t>Ne</w:t>
      </w:r>
      <w:r w:rsidR="00987538">
        <w:t>ll’ambito delle iniziative dirette</w:t>
      </w:r>
      <w:r w:rsidRPr="00D464C3">
        <w:t xml:space="preserve"> ad accrescere i livelli di sicurezza stradale</w:t>
      </w:r>
      <w:r>
        <w:t>,</w:t>
      </w:r>
      <w:r w:rsidRPr="00D464C3">
        <w:t xml:space="preserve"> </w:t>
      </w:r>
      <w:r w:rsidR="00404179">
        <w:t>è opportuno</w:t>
      </w:r>
      <w:r w:rsidRPr="00D464C3">
        <w:t xml:space="preserve"> </w:t>
      </w:r>
      <w:r w:rsidR="000C3269">
        <w:t>porre particolare attenzione</w:t>
      </w:r>
      <w:r w:rsidR="007A4D91">
        <w:t xml:space="preserve">, sia nella fase di organizzazione della gita </w:t>
      </w:r>
      <w:r w:rsidR="006D4BD4">
        <w:t>che</w:t>
      </w:r>
      <w:r w:rsidR="007A4D91">
        <w:t xml:space="preserve"> durante il viaggio,</w:t>
      </w:r>
      <w:r w:rsidR="006D4BD4">
        <w:t xml:space="preserve"> </w:t>
      </w:r>
      <w:r w:rsidR="000E5120" w:rsidRPr="000E5120">
        <w:t xml:space="preserve">su taluni aspetti </w:t>
      </w:r>
      <w:r w:rsidR="006D4BD4">
        <w:t>relativi al</w:t>
      </w:r>
      <w:r w:rsidR="007A4D91">
        <w:t xml:space="preserve">la  scelta dell’impresa cui affidare il servizio, </w:t>
      </w:r>
      <w:r w:rsidR="00404179">
        <w:t>all’idoneità e</w:t>
      </w:r>
      <w:r w:rsidR="007A4D91">
        <w:t xml:space="preserve"> condotta del conducente, </w:t>
      </w:r>
      <w:r w:rsidR="000E5120">
        <w:t>al</w:t>
      </w:r>
      <w:r w:rsidR="007A4D91">
        <w:t xml:space="preserve">l’idoneità del veicolo. </w:t>
      </w:r>
    </w:p>
    <w:p w:rsidR="006D4BD4" w:rsidRPr="006D4BD4" w:rsidRDefault="006D4BD4" w:rsidP="006D4BD4">
      <w:pPr>
        <w:pStyle w:val="Paragrafoelenco"/>
        <w:numPr>
          <w:ilvl w:val="0"/>
          <w:numId w:val="1"/>
        </w:numPr>
        <w:jc w:val="both"/>
      </w:pPr>
      <w:r>
        <w:t xml:space="preserve"> </w:t>
      </w:r>
      <w:r>
        <w:rPr>
          <w:b/>
        </w:rPr>
        <w:t>Scelta dell’impresa di trasporto</w:t>
      </w:r>
    </w:p>
    <w:p w:rsidR="006D4BD4" w:rsidRDefault="006D4BD4" w:rsidP="007D17E8">
      <w:pPr>
        <w:jc w:val="both"/>
      </w:pPr>
      <w:r>
        <w:t xml:space="preserve">Nella scelta, troppo spesso condizionata da considerazioni esclusivamente di ordine economico, </w:t>
      </w:r>
      <w:r w:rsidR="007D17E8">
        <w:t>deve essere osservata una procedura di trasparenza e comparazione dei preventivi</w:t>
      </w:r>
      <w:r w:rsidR="004E2F48">
        <w:t>,</w:t>
      </w:r>
      <w:r w:rsidR="007D17E8">
        <w:t xml:space="preserve"> avendo cura di </w:t>
      </w:r>
      <w:r w:rsidR="00AF2A66">
        <w:t>contemperare le esigenze di risparmio con le garanzie di sicurezza.</w:t>
      </w:r>
    </w:p>
    <w:p w:rsidR="007D17E8" w:rsidRDefault="004E2F48" w:rsidP="00A562C9">
      <w:pPr>
        <w:jc w:val="both"/>
      </w:pPr>
      <w:r>
        <w:t>Le ditte devono preventivamente dimostrare, mediante apposita  documentazione e se del caso autocertificazione, di essere in possesso dell'autorizzazione all'esercizio dell'attività di noleggio autobus con conducente (</w:t>
      </w:r>
      <w:r w:rsidR="00472F5A">
        <w:rPr>
          <w:rStyle w:val="Rimandonotaapidipagina"/>
        </w:rPr>
        <w:footnoteReference w:id="1"/>
      </w:r>
      <w:r>
        <w:t>), di essere in regola con la normativa sulla sicurezza sul lavoro e di aver provveduto alla redazione del Documento di Valutazione dei Rischi</w:t>
      </w:r>
      <w:r w:rsidR="00EF1F6F">
        <w:t>,</w:t>
      </w:r>
      <w:r>
        <w:t xml:space="preserve">  di essere</w:t>
      </w:r>
      <w:r w:rsidR="00F238C9">
        <w:t xml:space="preserve"> autorizzati </w:t>
      </w:r>
      <w:r w:rsidR="00F238C9" w:rsidRPr="00F238C9">
        <w:t xml:space="preserve">all'esercizio della professione </w:t>
      </w:r>
      <w:r w:rsidR="00F238C9">
        <w:t>(AEP) e iscritte</w:t>
      </w:r>
      <w:r w:rsidR="00F238C9" w:rsidRPr="00F238C9">
        <w:t xml:space="preserve"> al Registro Elettronico Nazionale (REN</w:t>
      </w:r>
      <w:r w:rsidR="00F238C9">
        <w:t>)</w:t>
      </w:r>
      <w:r>
        <w:t xml:space="preserve"> del Ministero delle Infrastrutture e Trasporti</w:t>
      </w:r>
      <w:r w:rsidR="000E5120">
        <w:t xml:space="preserve"> (</w:t>
      </w:r>
      <w:r w:rsidR="00F24A0C">
        <w:rPr>
          <w:rStyle w:val="Rimandonotaapidipagina"/>
        </w:rPr>
        <w:footnoteReference w:id="2"/>
      </w:r>
      <w:r w:rsidR="000E5120">
        <w:t>)</w:t>
      </w:r>
      <w:r>
        <w:t>,  di avvalersi di conducenti in possesso dei prescritti titoli abilitativi e di mezzi idonei</w:t>
      </w:r>
      <w:r w:rsidR="00A562C9">
        <w:t>.</w:t>
      </w:r>
    </w:p>
    <w:p w:rsidR="00240DE6" w:rsidRDefault="0079173F" w:rsidP="0079173F">
      <w:pPr>
        <w:jc w:val="both"/>
      </w:pPr>
      <w:r>
        <w:t>Come meglio s</w:t>
      </w:r>
      <w:r w:rsidR="00A562C9">
        <w:t>i dirà</w:t>
      </w:r>
      <w:r>
        <w:t xml:space="preserve"> in seguito a proposito del conducente e del veicolo,  le imprese dovranno altresì dimostrare</w:t>
      </w:r>
      <w:r w:rsidR="00A562C9">
        <w:t xml:space="preserve"> </w:t>
      </w:r>
      <w:r>
        <w:t>che il mezzo sia regolarmente dotato dello strumento di controllo dei tempi di guida e di riposo del conducente (cronotachigrafo o tachigrafo digitale), coperto da polizza assicurativa RCA, che il personale addetto alla guida sia titolare di rapporto di lavoro dipendente ovvero che sia titolare, socio</w:t>
      </w:r>
      <w:r w:rsidR="00240DE6">
        <w:t xml:space="preserve"> o collaboratore dell'impresa stessa, </w:t>
      </w:r>
      <w:r>
        <w:t xml:space="preserve"> in regola con i versamenti contributivi obbligatori INPS e INAIL</w:t>
      </w:r>
      <w:r w:rsidR="00256962" w:rsidRPr="00371BA7">
        <w:rPr>
          <w:highlight w:val="yellow"/>
        </w:rPr>
        <w:t>. Il dirigente scolastico, dovrà altresì ricordarsi di acquisire attraverso il servizio on line INPS-INAIL il</w:t>
      </w:r>
      <w:r w:rsidRPr="00371BA7">
        <w:rPr>
          <w:highlight w:val="yellow"/>
        </w:rPr>
        <w:t xml:space="preserve"> </w:t>
      </w:r>
      <w:r w:rsidR="00240DE6" w:rsidRPr="00371BA7">
        <w:rPr>
          <w:highlight w:val="yellow"/>
        </w:rPr>
        <w:t>D</w:t>
      </w:r>
      <w:r w:rsidRPr="00371BA7">
        <w:rPr>
          <w:highlight w:val="yellow"/>
        </w:rPr>
        <w:t>ocumento unico di regolarità</w:t>
      </w:r>
      <w:r w:rsidR="00240DE6" w:rsidRPr="00371BA7">
        <w:rPr>
          <w:highlight w:val="yellow"/>
        </w:rPr>
        <w:t xml:space="preserve"> </w:t>
      </w:r>
      <w:r w:rsidRPr="00371BA7">
        <w:rPr>
          <w:highlight w:val="yellow"/>
        </w:rPr>
        <w:t xml:space="preserve">contributiva </w:t>
      </w:r>
      <w:r w:rsidR="00240DE6" w:rsidRPr="00371BA7">
        <w:rPr>
          <w:highlight w:val="yellow"/>
        </w:rPr>
        <w:t>(</w:t>
      </w:r>
      <w:r w:rsidRPr="00371BA7">
        <w:rPr>
          <w:highlight w:val="yellow"/>
        </w:rPr>
        <w:t>DURC</w:t>
      </w:r>
      <w:r w:rsidR="00240DE6" w:rsidRPr="00371BA7">
        <w:rPr>
          <w:highlight w:val="yellow"/>
        </w:rPr>
        <w:t>)</w:t>
      </w:r>
      <w:r w:rsidRPr="00371BA7">
        <w:rPr>
          <w:highlight w:val="yellow"/>
        </w:rPr>
        <w:t xml:space="preserve"> in corso di validità</w:t>
      </w:r>
      <w:r w:rsidR="00240DE6" w:rsidRPr="00371BA7">
        <w:rPr>
          <w:highlight w:val="yellow"/>
        </w:rPr>
        <w:t>.</w:t>
      </w:r>
      <w:r w:rsidR="00240DE6">
        <w:t xml:space="preserve"> </w:t>
      </w:r>
    </w:p>
    <w:p w:rsidR="00240DE6" w:rsidRPr="00240DE6" w:rsidRDefault="00240DE6" w:rsidP="00240DE6">
      <w:pPr>
        <w:pStyle w:val="Paragrafoelenco"/>
        <w:numPr>
          <w:ilvl w:val="0"/>
          <w:numId w:val="1"/>
        </w:numPr>
        <w:jc w:val="both"/>
        <w:rPr>
          <w:b/>
        </w:rPr>
      </w:pPr>
      <w:r>
        <w:rPr>
          <w:b/>
        </w:rPr>
        <w:t>Idoneità e condotta del conducente</w:t>
      </w:r>
    </w:p>
    <w:p w:rsidR="004B01A5" w:rsidRDefault="00240DE6" w:rsidP="004B01A5">
      <w:pPr>
        <w:jc w:val="both"/>
      </w:pPr>
      <w:r w:rsidRPr="00240DE6">
        <w:t>L’</w:t>
      </w:r>
      <w:r>
        <w:t xml:space="preserve">idoneità </w:t>
      </w:r>
      <w:r w:rsidRPr="00240DE6">
        <w:t xml:space="preserve"> alla guida del conducente è </w:t>
      </w:r>
      <w:r w:rsidR="004B01A5">
        <w:t xml:space="preserve"> provata principalmente  dal possesso </w:t>
      </w:r>
      <w:r w:rsidR="00D50660">
        <w:t>de</w:t>
      </w:r>
      <w:r w:rsidR="004B01A5">
        <w:t>lla patente di guida categoria D  (</w:t>
      </w:r>
      <w:r w:rsidR="004B01A5">
        <w:rPr>
          <w:rStyle w:val="Rimandonotaapidipagina"/>
        </w:rPr>
        <w:footnoteReference w:id="3"/>
      </w:r>
      <w:r w:rsidR="004B01A5">
        <w:t>) e d</w:t>
      </w:r>
      <w:r w:rsidR="00D50660">
        <w:t>e</w:t>
      </w:r>
      <w:r w:rsidR="004B01A5">
        <w:t>lla Carta di Qualificazione del Conducente (CQC)  per il trasporto di persone (</w:t>
      </w:r>
      <w:r w:rsidR="004B01A5">
        <w:rPr>
          <w:rStyle w:val="Rimandonotaapidipagina"/>
        </w:rPr>
        <w:footnoteReference w:id="4"/>
      </w:r>
      <w:r w:rsidR="004B01A5">
        <w:t xml:space="preserve">),  in corso di validità,  rilevabile dal documento stesso. </w:t>
      </w:r>
    </w:p>
    <w:p w:rsidR="006B63AC" w:rsidRDefault="006B63AC" w:rsidP="006B63AC">
      <w:pPr>
        <w:jc w:val="both"/>
      </w:pPr>
      <w:r>
        <w:t>Il conducente deve portare al seguito</w:t>
      </w:r>
      <w:r w:rsidR="00AF2A66">
        <w:t>,</w:t>
      </w:r>
      <w:r>
        <w:t xml:space="preserve"> durante la guida</w:t>
      </w:r>
      <w:r w:rsidR="00AF2A66">
        <w:t>,</w:t>
      </w:r>
      <w:r>
        <w:t xml:space="preserve"> la dichiarazione, rilasciata  dal legale rappresentante dell’impresa,   che attesta la tipologia e la regolarità del rapporto di lavoro (</w:t>
      </w:r>
      <w:r>
        <w:rPr>
          <w:rStyle w:val="Rimandonotaapidipagina"/>
        </w:rPr>
        <w:footnoteReference w:id="5"/>
      </w:r>
      <w:r>
        <w:t>).</w:t>
      </w:r>
    </w:p>
    <w:p w:rsidR="00051B2A" w:rsidRDefault="00D50660" w:rsidP="00D50660">
      <w:pPr>
        <w:jc w:val="both"/>
      </w:pPr>
      <w:r>
        <w:lastRenderedPageBreak/>
        <w:t>Nel corso del</w:t>
      </w:r>
      <w:r w:rsidR="00A418A4">
        <w:t xml:space="preserve"> viaggio gli accompagnatori dovranno </w:t>
      </w:r>
      <w:r>
        <w:t>prestare attenzione al fatto Il conducente di un autobus non può assumere sostanze stupefacenti, psicotrope (psicofarmaci) né bevande alcoliche, neppure in modica quantità</w:t>
      </w:r>
      <w:r w:rsidR="00081F09">
        <w:t xml:space="preserve"> (</w:t>
      </w:r>
      <w:r w:rsidR="00081F09">
        <w:rPr>
          <w:rStyle w:val="Rimandonotaapidipagina"/>
        </w:rPr>
        <w:footnoteReference w:id="6"/>
      </w:r>
      <w:r w:rsidR="00081F09">
        <w:t>)</w:t>
      </w:r>
      <w:r>
        <w:t>. Durante la guida egli non può far uso di apparecchi radiotelefonici o usare cuffie sonore, salvo apparecchi a viva voce o dotati di auricolare</w:t>
      </w:r>
      <w:r w:rsidR="00081F09">
        <w:t xml:space="preserve"> (</w:t>
      </w:r>
      <w:r w:rsidR="00081F09">
        <w:rPr>
          <w:rStyle w:val="Rimandonotaapidipagina"/>
        </w:rPr>
        <w:footnoteReference w:id="7"/>
      </w:r>
      <w:r w:rsidR="00081F09">
        <w:t>)</w:t>
      </w:r>
      <w:r>
        <w:t>.</w:t>
      </w:r>
    </w:p>
    <w:p w:rsidR="001831CA" w:rsidRDefault="00D50660" w:rsidP="001831CA">
      <w:pPr>
        <w:jc w:val="both"/>
      </w:pPr>
      <w:r>
        <w:t>La verifica del rispetto dei tempi di guida</w:t>
      </w:r>
      <w:r w:rsidR="00AF2A66">
        <w:t xml:space="preserve"> e</w:t>
      </w:r>
      <w:r>
        <w:t xml:space="preserve"> di riposo, per la sua complessità tecnica e giuridica</w:t>
      </w:r>
      <w:r w:rsidR="001831CA">
        <w:t>, non può che essere rimessa agli organi di pol</w:t>
      </w:r>
      <w:r w:rsidR="00AF2A66">
        <w:t>izia stradale. É</w:t>
      </w:r>
      <w:r w:rsidR="001831CA">
        <w:t xml:space="preserve"> tuttavia opportuno che gli accompagnatori sappiano che Il conducente di un autobus deve rispettare: il periodo di guida giornaliero; il periodo di guida settimanale e bisettimanale; fruire di pause giornaliere e di riposo giornaliero e settimanale (</w:t>
      </w:r>
      <w:r w:rsidR="001831CA">
        <w:rPr>
          <w:rStyle w:val="Rimandonotaapidipagina"/>
        </w:rPr>
        <w:footnoteReference w:id="8"/>
      </w:r>
      <w:r w:rsidR="001831CA">
        <w:t xml:space="preserve">). </w:t>
      </w:r>
    </w:p>
    <w:p w:rsidR="00472F5A" w:rsidRDefault="00472F5A" w:rsidP="001831CA">
      <w:pPr>
        <w:jc w:val="both"/>
      </w:pPr>
      <w:r>
        <w:t>Più semplice è probabilmente prestare attenzione alla velocità tenuta, che deve sempre essere adeguata alle caratteristiche e condizion</w:t>
      </w:r>
      <w:r w:rsidR="00DF4E7E">
        <w:t>i della strada, del traffico e ad</w:t>
      </w:r>
      <w:r>
        <w:t xml:space="preserve"> ogni</w:t>
      </w:r>
      <w:r w:rsidR="00DF4E7E">
        <w:t xml:space="preserve"> altra circostanza prevedibile</w:t>
      </w:r>
      <w:r w:rsidR="00081F09">
        <w:t xml:space="preserve"> (</w:t>
      </w:r>
      <w:r w:rsidR="00081F09">
        <w:rPr>
          <w:rStyle w:val="Rimandonotaapidipagina"/>
        </w:rPr>
        <w:footnoteReference w:id="9"/>
      </w:r>
      <w:r w:rsidR="00081F09">
        <w:t>)</w:t>
      </w:r>
      <w:r w:rsidR="00DF4E7E">
        <w:t>, nonché entro i limiti prescritti dalla segnaletica e imposti agli autobus</w:t>
      </w:r>
      <w:r w:rsidR="00081F09">
        <w:t xml:space="preserve">: </w:t>
      </w:r>
      <w:r w:rsidR="00DF4E7E" w:rsidRPr="00DF4E7E">
        <w:t xml:space="preserve">80 km fuori </w:t>
      </w:r>
      <w:r w:rsidR="00DF4E7E">
        <w:t xml:space="preserve">del </w:t>
      </w:r>
      <w:r w:rsidR="00DF4E7E" w:rsidRPr="00DF4E7E">
        <w:t>centro abitato e 100 km in autostrada</w:t>
      </w:r>
      <w:r w:rsidR="00081F09">
        <w:t xml:space="preserve"> (</w:t>
      </w:r>
      <w:r w:rsidR="00081F09">
        <w:rPr>
          <w:rStyle w:val="Rimandonotaapidipagina"/>
        </w:rPr>
        <w:footnoteReference w:id="10"/>
      </w:r>
      <w:r w:rsidR="00DF4E7E">
        <w:t>).</w:t>
      </w:r>
    </w:p>
    <w:p w:rsidR="00DF4E7E" w:rsidRDefault="00DF4E7E" w:rsidP="00DF4E7E">
      <w:pPr>
        <w:pStyle w:val="Paragrafoelenco"/>
        <w:numPr>
          <w:ilvl w:val="0"/>
          <w:numId w:val="1"/>
        </w:numPr>
        <w:jc w:val="both"/>
        <w:rPr>
          <w:b/>
        </w:rPr>
      </w:pPr>
      <w:r>
        <w:rPr>
          <w:b/>
        </w:rPr>
        <w:t>Idoneità del veicolo</w:t>
      </w:r>
    </w:p>
    <w:p w:rsidR="008C0EBA" w:rsidRDefault="002C7181" w:rsidP="008C0EBA">
      <w:pPr>
        <w:jc w:val="both"/>
      </w:pPr>
      <w:r w:rsidRPr="002C7181">
        <w:t>L’idoneità del veicolo è attestata essenzialmente dalla visita di revisione annuale, il cui esito è riportato sulla carta di circolazione</w:t>
      </w:r>
      <w:r w:rsidR="008E314E">
        <w:t xml:space="preserve"> (</w:t>
      </w:r>
      <w:r w:rsidR="008E314E">
        <w:rPr>
          <w:rStyle w:val="Rimandonotaapidipagina"/>
        </w:rPr>
        <w:footnoteReference w:id="11"/>
      </w:r>
      <w:r w:rsidR="008E314E">
        <w:t>)</w:t>
      </w:r>
      <w:r w:rsidRPr="002C7181">
        <w:t>.</w:t>
      </w:r>
      <w:r>
        <w:t xml:space="preserve"> </w:t>
      </w:r>
    </w:p>
    <w:p w:rsidR="00DF4E7E" w:rsidRDefault="002C7181" w:rsidP="008C0EBA">
      <w:pPr>
        <w:jc w:val="both"/>
      </w:pPr>
      <w:r w:rsidRPr="002C7181">
        <w:t xml:space="preserve">In maniera empirica si </w:t>
      </w:r>
      <w:r w:rsidR="008C0EBA">
        <w:t xml:space="preserve">dovrà prestare attenzione </w:t>
      </w:r>
      <w:r w:rsidR="008E314E">
        <w:t xml:space="preserve">alle caratteristiche costruttive, funzionali e </w:t>
      </w:r>
      <w:r w:rsidR="008C0EBA">
        <w:t>ad</w:t>
      </w:r>
      <w:r w:rsidRPr="002C7181">
        <w:t xml:space="preserve"> alcuni importanti dispositivi di equipaggiamento: </w:t>
      </w:r>
      <w:r w:rsidR="008C0EBA">
        <w:t>l’</w:t>
      </w:r>
      <w:r w:rsidRPr="002C7181">
        <w:t>usura pneumatici,</w:t>
      </w:r>
      <w:r w:rsidR="008C0EBA">
        <w:t xml:space="preserve"> l’</w:t>
      </w:r>
      <w:r w:rsidRPr="002C7181">
        <w:t xml:space="preserve">efficienza </w:t>
      </w:r>
      <w:r w:rsidR="006E21B7">
        <w:t xml:space="preserve">dei </w:t>
      </w:r>
      <w:r w:rsidRPr="002C7181">
        <w:t>dispositivi visivi</w:t>
      </w:r>
      <w:r w:rsidR="008C0EBA">
        <w:t xml:space="preserve">, </w:t>
      </w:r>
      <w:r w:rsidRPr="002C7181">
        <w:t>di illuminazione,</w:t>
      </w:r>
      <w:r w:rsidR="008C0EBA" w:rsidRPr="008C0EBA">
        <w:t xml:space="preserve"> </w:t>
      </w:r>
      <w:r w:rsidR="008C0EBA">
        <w:t xml:space="preserve">dei </w:t>
      </w:r>
      <w:r w:rsidR="008C0EBA" w:rsidRPr="008C0EBA">
        <w:t>retrovisori</w:t>
      </w:r>
      <w:r w:rsidR="008E314E">
        <w:t xml:space="preserve"> (</w:t>
      </w:r>
      <w:r w:rsidR="008E314E">
        <w:rPr>
          <w:rStyle w:val="Rimandonotaapidipagina"/>
        </w:rPr>
        <w:footnoteReference w:id="12"/>
      </w:r>
      <w:r w:rsidR="008E314E">
        <w:t>)</w:t>
      </w:r>
      <w:r w:rsidR="008C0EBA">
        <w:t>. Se l’autobus è dotato di sistemi di ritenuta-cinture d</w:t>
      </w:r>
      <w:r w:rsidR="00371BA7">
        <w:t>i sicurezza i passeggeri devono</w:t>
      </w:r>
      <w:r w:rsidR="008C0EBA">
        <w:t xml:space="preserve"> utilizzarli  e devono essere informati, mediante cartelli-pittogrammi o sistemi audio visivi, di tale obbligo</w:t>
      </w:r>
      <w:r w:rsidR="008E314E">
        <w:t xml:space="preserve"> (</w:t>
      </w:r>
      <w:r w:rsidR="008E314E">
        <w:rPr>
          <w:rStyle w:val="Rimandonotaapidipagina"/>
        </w:rPr>
        <w:footnoteReference w:id="13"/>
      </w:r>
      <w:r w:rsidR="008E314E">
        <w:t>)</w:t>
      </w:r>
      <w:r w:rsidR="008C0EBA">
        <w:t>. Se il mancato uso riguarda un minore ne risponde il conducente o chi è tenuto alla sua sorveglianza, qualora si trovi a bordo del veicolo</w:t>
      </w:r>
      <w:r w:rsidR="008E314E">
        <w:t xml:space="preserve"> (</w:t>
      </w:r>
      <w:r w:rsidR="008E314E">
        <w:rPr>
          <w:rStyle w:val="Rimandonotaapidipagina"/>
        </w:rPr>
        <w:footnoteReference w:id="14"/>
      </w:r>
      <w:r w:rsidR="008E314E">
        <w:t>)</w:t>
      </w:r>
      <w:r w:rsidR="008C0EBA">
        <w:t>.</w:t>
      </w:r>
    </w:p>
    <w:p w:rsidR="008C0EBA" w:rsidRDefault="008C0EBA" w:rsidP="008C0EBA">
      <w:pPr>
        <w:jc w:val="both"/>
      </w:pPr>
      <w:r>
        <w:lastRenderedPageBreak/>
        <w:t>L’autobus deve, inoltre, essere dotato di estintori</w:t>
      </w:r>
      <w:r w:rsidR="002D67FA">
        <w:t xml:space="preserve"> (</w:t>
      </w:r>
      <w:r w:rsidR="002D67FA">
        <w:rPr>
          <w:rStyle w:val="Rimandonotaapidipagina"/>
        </w:rPr>
        <w:footnoteReference w:id="15"/>
      </w:r>
      <w:r w:rsidR="002D67FA">
        <w:t>)</w:t>
      </w:r>
      <w:r>
        <w:t xml:space="preserve"> e di “dischi” indicanti le velocità massime consentite</w:t>
      </w:r>
      <w:r w:rsidR="002D67FA">
        <w:t xml:space="preserve">, </w:t>
      </w:r>
      <w:r>
        <w:t xml:space="preserve">applicati nella parte posteriore del veicolo </w:t>
      </w:r>
      <w:r w:rsidR="00AD5DB8">
        <w:t>:</w:t>
      </w:r>
      <w:r>
        <w:t>80 km</w:t>
      </w:r>
      <w:r w:rsidR="002D67FA">
        <w:t xml:space="preserve">/h e </w:t>
      </w:r>
      <w:r>
        <w:t>100 km</w:t>
      </w:r>
      <w:r w:rsidR="002D67FA">
        <w:t>/h</w:t>
      </w:r>
      <w:r w:rsidR="00AD5DB8">
        <w:t xml:space="preserve"> (</w:t>
      </w:r>
      <w:r w:rsidR="006F6552">
        <w:rPr>
          <w:rStyle w:val="Rimandonotaapidipagina"/>
        </w:rPr>
        <w:footnoteReference w:id="16"/>
      </w:r>
      <w:r>
        <w:t>)</w:t>
      </w:r>
      <w:r w:rsidR="00FB0A0D">
        <w:t>.</w:t>
      </w:r>
    </w:p>
    <w:p w:rsidR="00FB0A0D" w:rsidRDefault="00FB0A0D" w:rsidP="00FB0A0D">
      <w:pPr>
        <w:pBdr>
          <w:bottom w:val="dotted" w:sz="24" w:space="1" w:color="auto"/>
        </w:pBdr>
        <w:jc w:val="both"/>
      </w:pPr>
      <w:r>
        <w:t>La copertura assicurativa R.C.A. è rilevabile dal certificato</w:t>
      </w:r>
      <w:r w:rsidR="006E21B7">
        <w:t xml:space="preserve"> assicurativo, che deve</w:t>
      </w:r>
      <w:r>
        <w:t xml:space="preserve"> trovarsi a bordo del veicolo </w:t>
      </w:r>
      <w:r w:rsidR="006E21B7">
        <w:t>(</w:t>
      </w:r>
      <w:r>
        <w:rPr>
          <w:rStyle w:val="Rimandonotaapidipagina"/>
        </w:rPr>
        <w:footnoteReference w:id="17"/>
      </w:r>
      <w:r>
        <w:t xml:space="preserve">).  </w:t>
      </w:r>
      <w:r w:rsidR="00135F0D">
        <w:t>I</w:t>
      </w:r>
      <w:r>
        <w:t>l numero</w:t>
      </w:r>
      <w:r w:rsidR="00135F0D">
        <w:t xml:space="preserve"> massimo</w:t>
      </w:r>
      <w:r>
        <w:t xml:space="preserve"> di persone che l’autobus può trasportare</w:t>
      </w:r>
      <w:r w:rsidR="00135F0D">
        <w:t xml:space="preserve"> può invece essere tratto dalla carta di circolazione</w:t>
      </w:r>
      <w:r w:rsidR="00A173F6">
        <w:t xml:space="preserve"> (</w:t>
      </w:r>
      <w:r w:rsidR="00A173F6">
        <w:rPr>
          <w:rStyle w:val="Rimandonotaapidipagina"/>
        </w:rPr>
        <w:footnoteReference w:id="18"/>
      </w:r>
      <w:r w:rsidR="00A173F6">
        <w:t>)</w:t>
      </w:r>
      <w:r w:rsidR="00135F0D">
        <w:t xml:space="preserve">. </w:t>
      </w:r>
    </w:p>
    <w:p w:rsidR="00135F0D" w:rsidRDefault="00135F0D" w:rsidP="00135F0D">
      <w:pPr>
        <w:jc w:val="center"/>
      </w:pPr>
      <w:r>
        <w:t>*****</w:t>
      </w:r>
    </w:p>
    <w:p w:rsidR="0050255D" w:rsidRDefault="00135F0D" w:rsidP="00135F0D">
      <w:pPr>
        <w:jc w:val="both"/>
      </w:pPr>
      <w:r>
        <w:t>Data la particolare dimensione tecnica e giuridica della</w:t>
      </w:r>
      <w:r w:rsidR="00087820">
        <w:t xml:space="preserve"> materia, si potrà e dovrà richiedere la collaborazione e l’intervento degli Uffici della Polizia Stradale territorialmente competenti, </w:t>
      </w:r>
      <w:r w:rsidR="0050255D">
        <w:t xml:space="preserve">già sensibilizzati a tal riguardo dalla propria Direzione centrale, </w:t>
      </w:r>
      <w:r w:rsidR="00087820">
        <w:t xml:space="preserve">ogni qualvolta ritenuto opportuno, in particolare prima di intraprendere il viaggio e durante lo stesso se la condotta del conducente o l’idoneità del veicolo </w:t>
      </w:r>
      <w:r w:rsidR="0050255D">
        <w:t xml:space="preserve">non dovessero rispondere ai requisiti sopra delineati. </w:t>
      </w:r>
    </w:p>
    <w:p w:rsidR="00FB69E7" w:rsidRDefault="00FB69E7" w:rsidP="00135F0D">
      <w:pPr>
        <w:jc w:val="both"/>
      </w:pPr>
      <w:r>
        <w:t xml:space="preserve">Per consentire alla Polizia Stradale di organizzare i servizi di controllo, compatibilmente con le altre attività istituzionali e fatte salve eventuali emergenze, </w:t>
      </w:r>
      <w:r w:rsidRPr="00371BA7">
        <w:rPr>
          <w:highlight w:val="yellow"/>
        </w:rPr>
        <w:t xml:space="preserve">i dirigenti scolastici avranno cura di inviare alla Sezione Polizia Stradale del capoluogo di provincia </w:t>
      </w:r>
      <w:r w:rsidR="00405D1C" w:rsidRPr="00371BA7">
        <w:rPr>
          <w:highlight w:val="yellow"/>
        </w:rPr>
        <w:t xml:space="preserve"> della località </w:t>
      </w:r>
      <w:r w:rsidRPr="00371BA7">
        <w:rPr>
          <w:highlight w:val="yellow"/>
        </w:rPr>
        <w:t>in cui avrà inizio</w:t>
      </w:r>
      <w:r w:rsidR="00405D1C" w:rsidRPr="00371BA7">
        <w:rPr>
          <w:highlight w:val="yellow"/>
        </w:rPr>
        <w:t xml:space="preserve"> il viaggio, una comunicazione secondo l’allegato schema</w:t>
      </w:r>
      <w:r w:rsidRPr="00371BA7">
        <w:rPr>
          <w:highlight w:val="yellow"/>
        </w:rPr>
        <w:t xml:space="preserve">  </w:t>
      </w:r>
      <w:r w:rsidR="00405D1C" w:rsidRPr="00371BA7">
        <w:rPr>
          <w:highlight w:val="yellow"/>
        </w:rPr>
        <w:t>(</w:t>
      </w:r>
      <w:r w:rsidR="00405D1C" w:rsidRPr="00371BA7">
        <w:rPr>
          <w:i/>
          <w:highlight w:val="yellow"/>
        </w:rPr>
        <w:t>All. 1</w:t>
      </w:r>
      <w:r w:rsidR="00405D1C" w:rsidRPr="00371BA7">
        <w:rPr>
          <w:highlight w:val="yellow"/>
        </w:rPr>
        <w:t>).</w:t>
      </w:r>
      <w:bookmarkStart w:id="0" w:name="_GoBack"/>
      <w:bookmarkEnd w:id="0"/>
      <w:r w:rsidR="00405D1C">
        <w:t xml:space="preserve"> Resta inteso che, in presenza di evidenti situazioni che possono compromettere la sicurezza della circolazione  e l’incolumità dei trasportati, in qualsiasi momento, l’intervento degli organi di polizia stradale deve essere richiesto tramite i tradizionali numeri di emergenza. </w:t>
      </w:r>
    </w:p>
    <w:p w:rsidR="00535366" w:rsidRDefault="00535366" w:rsidP="00135F0D">
      <w:pPr>
        <w:jc w:val="both"/>
      </w:pPr>
    </w:p>
    <w:p w:rsidR="00135F0D" w:rsidRPr="002C7181" w:rsidRDefault="00087820" w:rsidP="00135F0D">
      <w:pPr>
        <w:jc w:val="both"/>
      </w:pPr>
      <w:r>
        <w:t xml:space="preserve"> </w:t>
      </w:r>
      <w:r w:rsidR="00135F0D">
        <w:t xml:space="preserve"> </w:t>
      </w:r>
    </w:p>
    <w:sectPr w:rsidR="00135F0D" w:rsidRPr="002C7181">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6976" w:rsidRDefault="00236976" w:rsidP="004B01A5">
      <w:pPr>
        <w:spacing w:after="0" w:line="240" w:lineRule="auto"/>
      </w:pPr>
      <w:r>
        <w:separator/>
      </w:r>
    </w:p>
  </w:endnote>
  <w:endnote w:type="continuationSeparator" w:id="0">
    <w:p w:rsidR="00236976" w:rsidRDefault="00236976" w:rsidP="004B0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0188398"/>
      <w:docPartObj>
        <w:docPartGallery w:val="Page Numbers (Bottom of Page)"/>
        <w:docPartUnique/>
      </w:docPartObj>
    </w:sdtPr>
    <w:sdtEndPr/>
    <w:sdtContent>
      <w:p w:rsidR="00AF2A66" w:rsidRDefault="00AF2A66">
        <w:pPr>
          <w:pStyle w:val="Pidipagina"/>
          <w:jc w:val="center"/>
        </w:pPr>
        <w:r>
          <w:fldChar w:fldCharType="begin"/>
        </w:r>
        <w:r>
          <w:instrText>PAGE   \* MERGEFORMAT</w:instrText>
        </w:r>
        <w:r>
          <w:fldChar w:fldCharType="separate"/>
        </w:r>
        <w:r w:rsidR="00371BA7">
          <w:rPr>
            <w:noProof/>
          </w:rPr>
          <w:t>3</w:t>
        </w:r>
        <w:r>
          <w:fldChar w:fldCharType="end"/>
        </w:r>
      </w:p>
    </w:sdtContent>
  </w:sdt>
  <w:p w:rsidR="00AF2A66" w:rsidRDefault="00AF2A66">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6976" w:rsidRDefault="00236976" w:rsidP="004B01A5">
      <w:pPr>
        <w:spacing w:after="0" w:line="240" w:lineRule="auto"/>
      </w:pPr>
      <w:r>
        <w:separator/>
      </w:r>
    </w:p>
  </w:footnote>
  <w:footnote w:type="continuationSeparator" w:id="0">
    <w:p w:rsidR="00236976" w:rsidRDefault="00236976" w:rsidP="004B01A5">
      <w:pPr>
        <w:spacing w:after="0" w:line="240" w:lineRule="auto"/>
      </w:pPr>
      <w:r>
        <w:continuationSeparator/>
      </w:r>
    </w:p>
  </w:footnote>
  <w:footnote w:id="1">
    <w:p w:rsidR="00472F5A" w:rsidRDefault="00472F5A" w:rsidP="00472F5A">
      <w:pPr>
        <w:pStyle w:val="Testonotaapidipagina"/>
        <w:jc w:val="both"/>
      </w:pPr>
      <w:r>
        <w:rPr>
          <w:rStyle w:val="Rimandonotaapidipagina"/>
        </w:rPr>
        <w:footnoteRef/>
      </w:r>
      <w:r>
        <w:t xml:space="preserve">   L’attività di trasporto viaggiatori con autobus noleggiato con conducente  è subordinata al rilascio di autorizzazione da parte della Regione o dell’ente locale a ciò delegato</w:t>
      </w:r>
      <w:r w:rsidR="00A95759">
        <w:t xml:space="preserve">, </w:t>
      </w:r>
      <w:r>
        <w:t>in genere il Comune</w:t>
      </w:r>
      <w:r w:rsidR="00A95759">
        <w:t xml:space="preserve"> (art.5, commi 1 e 2</w:t>
      </w:r>
      <w:r w:rsidR="00501F1F">
        <w:t>,</w:t>
      </w:r>
      <w:r w:rsidR="00A95759" w:rsidRPr="00A95759">
        <w:t xml:space="preserve"> </w:t>
      </w:r>
      <w:r w:rsidR="00A95759">
        <w:t>legge</w:t>
      </w:r>
      <w:r w:rsidR="00A95759" w:rsidRPr="00A95759">
        <w:t xml:space="preserve"> 11 agosto 2003, n. 218</w:t>
      </w:r>
      <w:r>
        <w:t>). Copia conforme dell’autorizzazione deve sempre trovarsi a bordo del mezzo</w:t>
      </w:r>
      <w:r w:rsidR="00501F1F">
        <w:t xml:space="preserve"> (Art. 5, comma 5, legge</w:t>
      </w:r>
      <w:r w:rsidR="00501F1F" w:rsidRPr="00501F1F">
        <w:t xml:space="preserve"> 11 agosto 2003, n. 218</w:t>
      </w:r>
      <w:r w:rsidR="00501F1F">
        <w:t>)</w:t>
      </w:r>
      <w:r>
        <w:t>. Se il viaggio si svolge su una relazione di traffico comunitaria  occorre la licenza comunitaria</w:t>
      </w:r>
      <w:r w:rsidR="00501F1F">
        <w:t xml:space="preserve"> (art. 4 Regolamento CE n. 1073/2009) </w:t>
      </w:r>
      <w:r>
        <w:t>, se invece è extracomunitaria occorre l’autorizzazione Interbus, Asor o bilaterale, a seconda dei paesi attraversati</w:t>
      </w:r>
      <w:r w:rsidR="00501F1F">
        <w:t xml:space="preserve"> (Art. 10</w:t>
      </w:r>
      <w:r w:rsidR="00501F1F" w:rsidRPr="00501F1F">
        <w:t xml:space="preserve"> legge 11 agosto 2003, n. 218</w:t>
      </w:r>
      <w:r w:rsidR="00501F1F">
        <w:t>)</w:t>
      </w:r>
      <w:r>
        <w:t>.</w:t>
      </w:r>
    </w:p>
  </w:footnote>
  <w:footnote w:id="2">
    <w:p w:rsidR="00F24A0C" w:rsidRDefault="00F24A0C">
      <w:pPr>
        <w:pStyle w:val="Testonotaapidipagina"/>
      </w:pPr>
      <w:r>
        <w:rPr>
          <w:rStyle w:val="Rimandonotaapidipagina"/>
        </w:rPr>
        <w:footnoteRef/>
      </w:r>
      <w:r>
        <w:t xml:space="preserve">  Art. 10 Regolamento (CE) n. 1071/2009 e art. 9 del relativo Regolamento di esecuzione del Parlamento e del Consiglio del 21 ottobre 2009. </w:t>
      </w:r>
    </w:p>
  </w:footnote>
  <w:footnote w:id="3">
    <w:p w:rsidR="004B01A5" w:rsidRPr="00EF1F6F" w:rsidRDefault="004B01A5" w:rsidP="004B01A5">
      <w:pPr>
        <w:pStyle w:val="Testonotaapidipagina"/>
        <w:jc w:val="both"/>
        <w:rPr>
          <w:lang w:val="en-US"/>
        </w:rPr>
      </w:pPr>
      <w:r>
        <w:rPr>
          <w:rStyle w:val="Rimandonotaapidipagina"/>
        </w:rPr>
        <w:footnoteRef/>
      </w:r>
      <w:r>
        <w:t xml:space="preserve">  Ovvero</w:t>
      </w:r>
      <w:r w:rsidRPr="004B01A5">
        <w:t xml:space="preserve"> categoria D1 nel caso di autobus progettati e costruiti per il trasporto di non più di 16 persone, oltre al conducente, e aventi una </w:t>
      </w:r>
      <w:r>
        <w:t xml:space="preserve">lunghezza massima di otto metri. </w:t>
      </w:r>
      <w:r w:rsidR="00F24A0C" w:rsidRPr="00EF1F6F">
        <w:rPr>
          <w:lang w:val="en-US"/>
        </w:rPr>
        <w:t>Cfr. art. 116, comma 3, C.d.S.</w:t>
      </w:r>
    </w:p>
  </w:footnote>
  <w:footnote w:id="4">
    <w:p w:rsidR="004B01A5" w:rsidRDefault="004B01A5">
      <w:pPr>
        <w:pStyle w:val="Testonotaapidipagina"/>
      </w:pPr>
      <w:r>
        <w:rPr>
          <w:rStyle w:val="Rimandonotaapidipagina"/>
        </w:rPr>
        <w:footnoteRef/>
      </w:r>
      <w:r w:rsidRPr="00EF1F6F">
        <w:rPr>
          <w:lang w:val="en-US"/>
        </w:rPr>
        <w:t xml:space="preserve">   </w:t>
      </w:r>
      <w:r w:rsidR="00F24A0C" w:rsidRPr="00EF1F6F">
        <w:rPr>
          <w:lang w:val="en-US"/>
        </w:rPr>
        <w:t xml:space="preserve">Cfr. art. 116, comma 11, C.d.S. e </w:t>
      </w:r>
      <w:r w:rsidR="00B068B5" w:rsidRPr="00EF1F6F">
        <w:rPr>
          <w:lang w:val="en-US"/>
        </w:rPr>
        <w:t xml:space="preserve">art. 14 d.lgs. 21 novembre 2005, n. 286. </w:t>
      </w:r>
      <w:r w:rsidR="00C24F69">
        <w:t>Nella  patente formato card il possesso della CQC è attestato dall’indicazione del codice armonizzato “95”</w:t>
      </w:r>
      <w:r w:rsidR="00F24A0C">
        <w:t>.</w:t>
      </w:r>
    </w:p>
  </w:footnote>
  <w:footnote w:id="5">
    <w:p w:rsidR="006B63AC" w:rsidRDefault="006B63AC" w:rsidP="00051B2A">
      <w:pPr>
        <w:pStyle w:val="Testonotaapidipagina"/>
        <w:jc w:val="both"/>
      </w:pPr>
      <w:r>
        <w:rPr>
          <w:rStyle w:val="Rimandonotaapidipagina"/>
        </w:rPr>
        <w:footnoteRef/>
      </w:r>
      <w:r w:rsidRPr="00081F09">
        <w:rPr>
          <w:lang w:val="en-US"/>
        </w:rPr>
        <w:t xml:space="preserve">  </w:t>
      </w:r>
      <w:r w:rsidR="00A07ACA" w:rsidRPr="00081F09">
        <w:rPr>
          <w:lang w:val="en-US"/>
        </w:rPr>
        <w:t xml:space="preserve">Cfr. </w:t>
      </w:r>
      <w:r w:rsidR="00081F09" w:rsidRPr="00081F09">
        <w:rPr>
          <w:lang w:val="en-US"/>
        </w:rPr>
        <w:t xml:space="preserve">art.6 legge 11 agosto 2003, n. 218. </w:t>
      </w:r>
      <w:r w:rsidR="00051B2A">
        <w:t>Per il</w:t>
      </w:r>
      <w:r>
        <w:t xml:space="preserve">  titolare,  socio  e collaboratore  familiare </w:t>
      </w:r>
      <w:r w:rsidR="00051B2A">
        <w:t>tale qualità non</w:t>
      </w:r>
      <w:r>
        <w:t xml:space="preserve"> deve</w:t>
      </w:r>
      <w:r w:rsidR="00051B2A">
        <w:t xml:space="preserve"> essere documentata in sede di controllo ma </w:t>
      </w:r>
      <w:r>
        <w:t xml:space="preserve">  risultare  dal registro delle imprese </w:t>
      </w:r>
      <w:r w:rsidR="00051B2A">
        <w:t>presso  la  Camera di commercio</w:t>
      </w:r>
      <w:r>
        <w:t xml:space="preserve"> competente per territorio.</w:t>
      </w:r>
    </w:p>
  </w:footnote>
  <w:footnote w:id="6">
    <w:p w:rsidR="00081F09" w:rsidRDefault="00081F09">
      <w:pPr>
        <w:pStyle w:val="Testonotaapidipagina"/>
      </w:pPr>
      <w:r>
        <w:rPr>
          <w:rStyle w:val="Rimandonotaapidipagina"/>
        </w:rPr>
        <w:footnoteRef/>
      </w:r>
      <w:r>
        <w:t xml:space="preserve">  Artt. 187 e 186-</w:t>
      </w:r>
      <w:r>
        <w:rPr>
          <w:i/>
        </w:rPr>
        <w:t xml:space="preserve">bis </w:t>
      </w:r>
      <w:r>
        <w:t xml:space="preserve"> C.d.S. </w:t>
      </w:r>
    </w:p>
  </w:footnote>
  <w:footnote w:id="7">
    <w:p w:rsidR="00081F09" w:rsidRDefault="00081F09">
      <w:pPr>
        <w:pStyle w:val="Testonotaapidipagina"/>
      </w:pPr>
      <w:r>
        <w:rPr>
          <w:rStyle w:val="Rimandonotaapidipagina"/>
        </w:rPr>
        <w:footnoteRef/>
      </w:r>
      <w:r>
        <w:t xml:space="preserve">  Art. 173 C.d.S.</w:t>
      </w:r>
    </w:p>
  </w:footnote>
  <w:footnote w:id="8">
    <w:p w:rsidR="00081F09" w:rsidRDefault="001831CA" w:rsidP="00025A02">
      <w:pPr>
        <w:pStyle w:val="Testonotaapidipagina"/>
        <w:jc w:val="both"/>
      </w:pPr>
      <w:r>
        <w:rPr>
          <w:rStyle w:val="Rimandonotaapidipagina"/>
        </w:rPr>
        <w:footnoteRef/>
      </w:r>
      <w:r>
        <w:t xml:space="preserve"> </w:t>
      </w:r>
      <w:r w:rsidR="00081F09">
        <w:t xml:space="preserve">Cfr. Regolamento (CE) n. 561/2006 – Capo II. </w:t>
      </w:r>
    </w:p>
    <w:p w:rsidR="001831CA" w:rsidRDefault="001831CA" w:rsidP="00025A02">
      <w:pPr>
        <w:pStyle w:val="Testonotaapidipagina"/>
        <w:jc w:val="both"/>
      </w:pPr>
      <w:r>
        <w:t>Il periodo di guida effettiva non può superare le 9 ore giornaliere, estese fino a 10 ore non più di due volte la settimana.  Il periodo di guida settimanale non deve superare 56 ore e, complessivamente, in due settimane consecutive,  90 ore. Nell’arco delle 24 ore il conducente deve effettuare un periodo di riposo giornaliero di almeno 11 ore consecutive</w:t>
      </w:r>
      <w:r w:rsidR="00025A02">
        <w:t>,</w:t>
      </w:r>
      <w:r>
        <w:t xml:space="preserve"> a veicolo fermo</w:t>
      </w:r>
      <w:r w:rsidR="00025A02">
        <w:t>, ovvero di 12 ore frazionabile</w:t>
      </w:r>
      <w:r>
        <w:t xml:space="preserve"> in due periodi</w:t>
      </w:r>
      <w:r w:rsidR="00025A02">
        <w:t xml:space="preserve"> (</w:t>
      </w:r>
      <w:r>
        <w:t>3+9</w:t>
      </w:r>
      <w:r w:rsidR="00025A02">
        <w:t>). P</w:t>
      </w:r>
      <w:r>
        <w:t>er non più di tre volte la settimana tale riposo può essere ridotto fino a 9</w:t>
      </w:r>
      <w:r w:rsidR="00025A02">
        <w:t xml:space="preserve"> ore. Dopo un periodo di guida di quattro ore e mezza il conducente deve osservare una pausa di almeno 45 minuti consecutivi o due interruzioni, di almeno 15 e 30 minuti, intercalate nelle quattro ore e mezza. Dopo sei giorni di lavoro egli deve effettuare un periodo di riposo settimanale di almeno 45 ore. Tale periodo può essere ridotto fino a 24 ore ma non per due volte consecutive e con compensazione delle ore mancanti entro la fine della terza settimana successiva. </w:t>
      </w:r>
    </w:p>
    <w:p w:rsidR="00025A02" w:rsidRDefault="00025A02" w:rsidP="00025A02">
      <w:pPr>
        <w:pStyle w:val="Testonotaapidipagina"/>
        <w:jc w:val="both"/>
      </w:pPr>
      <w:r>
        <w:t>È anche il caso di ricordare che l’orario di lavoro del conducente non è solo attività di guida ma anche tutte le altre mansioni ad essa connesse (manutenzione veicolo, assistenza passeggeri, adempimenti amministrativi, ecc.), regolato dal  Decreto legislativo n. 234/2007.</w:t>
      </w:r>
    </w:p>
  </w:footnote>
  <w:footnote w:id="9">
    <w:p w:rsidR="00081F09" w:rsidRPr="00081F09" w:rsidRDefault="00081F09">
      <w:pPr>
        <w:pStyle w:val="Testonotaapidipagina"/>
        <w:rPr>
          <w:lang w:val="en-US"/>
        </w:rPr>
      </w:pPr>
      <w:r>
        <w:rPr>
          <w:rStyle w:val="Rimandonotaapidipagina"/>
        </w:rPr>
        <w:footnoteRef/>
      </w:r>
      <w:r w:rsidRPr="00081F09">
        <w:rPr>
          <w:lang w:val="en-US"/>
        </w:rPr>
        <w:t xml:space="preserve">   Art. 141 C.d.S.</w:t>
      </w:r>
    </w:p>
  </w:footnote>
  <w:footnote w:id="10">
    <w:p w:rsidR="00081F09" w:rsidRPr="00081F09" w:rsidRDefault="00081F09">
      <w:pPr>
        <w:pStyle w:val="Testonotaapidipagina"/>
        <w:rPr>
          <w:lang w:val="en-US"/>
        </w:rPr>
      </w:pPr>
      <w:r>
        <w:rPr>
          <w:rStyle w:val="Rimandonotaapidipagina"/>
        </w:rPr>
        <w:footnoteRef/>
      </w:r>
      <w:r w:rsidRPr="00081F09">
        <w:rPr>
          <w:lang w:val="en-US"/>
        </w:rPr>
        <w:t xml:space="preserve">  Art. 142 C.d.S.</w:t>
      </w:r>
    </w:p>
  </w:footnote>
  <w:footnote w:id="11">
    <w:p w:rsidR="008E314E" w:rsidRPr="008E314E" w:rsidRDefault="008E314E">
      <w:pPr>
        <w:pStyle w:val="Testonotaapidipagina"/>
      </w:pPr>
      <w:r>
        <w:rPr>
          <w:rStyle w:val="Rimandonotaapidipagina"/>
        </w:rPr>
        <w:footnoteRef/>
      </w:r>
      <w:r w:rsidRPr="008E314E">
        <w:t xml:space="preserve">  Art. 80, commi 4 e 14, C.d.S. </w:t>
      </w:r>
    </w:p>
  </w:footnote>
  <w:footnote w:id="12">
    <w:p w:rsidR="008E314E" w:rsidRDefault="008E314E">
      <w:pPr>
        <w:pStyle w:val="Testonotaapidipagina"/>
      </w:pPr>
      <w:r>
        <w:rPr>
          <w:rStyle w:val="Rimandonotaapidipagina"/>
        </w:rPr>
        <w:footnoteRef/>
      </w:r>
      <w:r>
        <w:t xml:space="preserve">  Artt.71, 72 e 79 C.d.S.</w:t>
      </w:r>
    </w:p>
  </w:footnote>
  <w:footnote w:id="13">
    <w:p w:rsidR="008E314E" w:rsidRPr="00EF1F6F" w:rsidRDefault="008E314E">
      <w:pPr>
        <w:pStyle w:val="Testonotaapidipagina"/>
        <w:rPr>
          <w:lang w:val="en-US"/>
        </w:rPr>
      </w:pPr>
      <w:r>
        <w:rPr>
          <w:rStyle w:val="Rimandonotaapidipagina"/>
        </w:rPr>
        <w:footnoteRef/>
      </w:r>
      <w:r w:rsidRPr="00EF1F6F">
        <w:rPr>
          <w:lang w:val="en-US"/>
        </w:rPr>
        <w:t xml:space="preserve"> Art. 172 C.d.S. </w:t>
      </w:r>
    </w:p>
  </w:footnote>
  <w:footnote w:id="14">
    <w:p w:rsidR="008E314E" w:rsidRPr="008E314E" w:rsidRDefault="008E314E">
      <w:pPr>
        <w:pStyle w:val="Testonotaapidipagina"/>
        <w:rPr>
          <w:lang w:val="en-US"/>
        </w:rPr>
      </w:pPr>
      <w:r>
        <w:rPr>
          <w:rStyle w:val="Rimandonotaapidipagina"/>
        </w:rPr>
        <w:footnoteRef/>
      </w:r>
      <w:r w:rsidRPr="008E314E">
        <w:rPr>
          <w:lang w:val="en-US"/>
        </w:rPr>
        <w:t xml:space="preserve"> Art. 172, comma 10, C.d.S.</w:t>
      </w:r>
    </w:p>
  </w:footnote>
  <w:footnote w:id="15">
    <w:p w:rsidR="002D67FA" w:rsidRDefault="002D67FA">
      <w:pPr>
        <w:pStyle w:val="Testonotaapidipagina"/>
      </w:pPr>
      <w:r>
        <w:rPr>
          <w:rStyle w:val="Rimandonotaapidipagina"/>
        </w:rPr>
        <w:footnoteRef/>
      </w:r>
      <w:r>
        <w:t xml:space="preserve"> </w:t>
      </w:r>
      <w:r w:rsidR="008E314E">
        <w:t xml:space="preserve"> </w:t>
      </w:r>
      <w:r>
        <w:t>D</w:t>
      </w:r>
      <w:r w:rsidRPr="002D67FA">
        <w:t>i almeno un estintore a schiuma da 5 litri, oppure in alternativa uno a neve carbonica da kg 2 fino a 30 posti, ovvero 2 estintori p</w:t>
      </w:r>
      <w:r>
        <w:t>er autobus con più di 30 posti</w:t>
      </w:r>
      <w:r w:rsidR="00525D0B">
        <w:t xml:space="preserve"> (Art. 72, comma 6, C.d.S., in relazione al DM 18.04.1977)</w:t>
      </w:r>
      <w:r>
        <w:t xml:space="preserve">.  </w:t>
      </w:r>
    </w:p>
  </w:footnote>
  <w:footnote w:id="16">
    <w:p w:rsidR="006F6552" w:rsidRPr="006F6552" w:rsidRDefault="006F6552">
      <w:pPr>
        <w:pStyle w:val="Testonotaapidipagina"/>
        <w:rPr>
          <w:lang w:val="en-US"/>
        </w:rPr>
      </w:pPr>
      <w:r>
        <w:rPr>
          <w:rStyle w:val="Rimandonotaapidipagina"/>
        </w:rPr>
        <w:footnoteRef/>
      </w:r>
      <w:r w:rsidRPr="006F6552">
        <w:rPr>
          <w:lang w:val="en-US"/>
        </w:rPr>
        <w:t xml:space="preserve">  Art. 142, comma 4, C.d.S.</w:t>
      </w:r>
    </w:p>
  </w:footnote>
  <w:footnote w:id="17">
    <w:p w:rsidR="00A173F6" w:rsidRDefault="00FB0A0D">
      <w:pPr>
        <w:pStyle w:val="Testonotaapidipagina"/>
      </w:pPr>
      <w:r>
        <w:rPr>
          <w:rStyle w:val="Rimandonotaapidipagina"/>
        </w:rPr>
        <w:footnoteRef/>
      </w:r>
      <w:r>
        <w:t xml:space="preserve">  </w:t>
      </w:r>
      <w:r w:rsidR="00A173F6">
        <w:t xml:space="preserve">Art. 180, comma 1, lettere d), C.d.S. </w:t>
      </w:r>
    </w:p>
    <w:p w:rsidR="00FB0A0D" w:rsidRDefault="00A173F6">
      <w:pPr>
        <w:pStyle w:val="Testonotaapidipagina"/>
      </w:pPr>
      <w:r>
        <w:t xml:space="preserve">     </w:t>
      </w:r>
      <w:r w:rsidR="00FB0A0D">
        <w:t>Dal 18.10.2015</w:t>
      </w:r>
      <w:r w:rsidR="006E21B7">
        <w:t xml:space="preserve"> non vi è </w:t>
      </w:r>
      <w:r w:rsidR="00135F0D">
        <w:t>più l’obbligo di esporre il contrassegno assicurativo</w:t>
      </w:r>
    </w:p>
  </w:footnote>
  <w:footnote w:id="18">
    <w:p w:rsidR="00A173F6" w:rsidRPr="00A173F6" w:rsidRDefault="00A173F6">
      <w:pPr>
        <w:pStyle w:val="Testonotaapidipagina"/>
        <w:rPr>
          <w:lang w:val="en-US"/>
        </w:rPr>
      </w:pPr>
      <w:r>
        <w:rPr>
          <w:rStyle w:val="Rimandonotaapidipagina"/>
        </w:rPr>
        <w:footnoteRef/>
      </w:r>
      <w:r w:rsidRPr="00A173F6">
        <w:rPr>
          <w:lang w:val="en-US"/>
        </w:rPr>
        <w:t xml:space="preserve">  Art. 169, comma 3, C.d.S.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931A78"/>
    <w:multiLevelType w:val="hybridMultilevel"/>
    <w:tmpl w:val="3C48E450"/>
    <w:lvl w:ilvl="0" w:tplc="547691F6">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1AB"/>
    <w:rsid w:val="00025A02"/>
    <w:rsid w:val="00051B2A"/>
    <w:rsid w:val="00081F09"/>
    <w:rsid w:val="00087820"/>
    <w:rsid w:val="000C3269"/>
    <w:rsid w:val="000E5120"/>
    <w:rsid w:val="00135F0D"/>
    <w:rsid w:val="001831CA"/>
    <w:rsid w:val="00236976"/>
    <w:rsid w:val="00240DE6"/>
    <w:rsid w:val="00256962"/>
    <w:rsid w:val="002B51AB"/>
    <w:rsid w:val="002C7181"/>
    <w:rsid w:val="002D67FA"/>
    <w:rsid w:val="00371BA7"/>
    <w:rsid w:val="00404179"/>
    <w:rsid w:val="00405D1C"/>
    <w:rsid w:val="00472F5A"/>
    <w:rsid w:val="004B01A5"/>
    <w:rsid w:val="004B72D4"/>
    <w:rsid w:val="004D592B"/>
    <w:rsid w:val="004E2F48"/>
    <w:rsid w:val="00501F1F"/>
    <w:rsid w:val="0050255D"/>
    <w:rsid w:val="00525D0B"/>
    <w:rsid w:val="00535366"/>
    <w:rsid w:val="006B63AC"/>
    <w:rsid w:val="006D4BD4"/>
    <w:rsid w:val="006E21B7"/>
    <w:rsid w:val="006F6552"/>
    <w:rsid w:val="0079173F"/>
    <w:rsid w:val="007A4D91"/>
    <w:rsid w:val="007D17E8"/>
    <w:rsid w:val="008C0EBA"/>
    <w:rsid w:val="008E314E"/>
    <w:rsid w:val="00987538"/>
    <w:rsid w:val="009B4F28"/>
    <w:rsid w:val="009C5A55"/>
    <w:rsid w:val="00A07ACA"/>
    <w:rsid w:val="00A173F6"/>
    <w:rsid w:val="00A418A4"/>
    <w:rsid w:val="00A562C9"/>
    <w:rsid w:val="00A95759"/>
    <w:rsid w:val="00AD5DB8"/>
    <w:rsid w:val="00AF2A66"/>
    <w:rsid w:val="00B068B5"/>
    <w:rsid w:val="00B964CE"/>
    <w:rsid w:val="00C24F69"/>
    <w:rsid w:val="00D464C3"/>
    <w:rsid w:val="00D50660"/>
    <w:rsid w:val="00D51F0A"/>
    <w:rsid w:val="00D56DCE"/>
    <w:rsid w:val="00DB412F"/>
    <w:rsid w:val="00DC2286"/>
    <w:rsid w:val="00DF4E7E"/>
    <w:rsid w:val="00EF1F6F"/>
    <w:rsid w:val="00F238C9"/>
    <w:rsid w:val="00F24A0C"/>
    <w:rsid w:val="00FB0A0D"/>
    <w:rsid w:val="00FB69E7"/>
    <w:rsid w:val="00FF36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9645F5-D70A-475D-A3F6-65A97409F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D4BD4"/>
    <w:pPr>
      <w:ind w:left="720"/>
      <w:contextualSpacing/>
    </w:pPr>
  </w:style>
  <w:style w:type="paragraph" w:styleId="Testonotaapidipagina">
    <w:name w:val="footnote text"/>
    <w:basedOn w:val="Normale"/>
    <w:link w:val="TestonotaapidipaginaCarattere"/>
    <w:uiPriority w:val="99"/>
    <w:semiHidden/>
    <w:unhideWhenUsed/>
    <w:rsid w:val="004B01A5"/>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4B01A5"/>
    <w:rPr>
      <w:sz w:val="20"/>
      <w:szCs w:val="20"/>
    </w:rPr>
  </w:style>
  <w:style w:type="character" w:styleId="Rimandonotaapidipagina">
    <w:name w:val="footnote reference"/>
    <w:basedOn w:val="Carpredefinitoparagrafo"/>
    <w:uiPriority w:val="99"/>
    <w:semiHidden/>
    <w:unhideWhenUsed/>
    <w:rsid w:val="004B01A5"/>
    <w:rPr>
      <w:vertAlign w:val="superscript"/>
    </w:rPr>
  </w:style>
  <w:style w:type="paragraph" w:styleId="Intestazione">
    <w:name w:val="header"/>
    <w:basedOn w:val="Normale"/>
    <w:link w:val="IntestazioneCarattere"/>
    <w:uiPriority w:val="99"/>
    <w:unhideWhenUsed/>
    <w:rsid w:val="00AF2A6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F2A66"/>
  </w:style>
  <w:style w:type="paragraph" w:styleId="Pidipagina">
    <w:name w:val="footer"/>
    <w:basedOn w:val="Normale"/>
    <w:link w:val="PidipaginaCarattere"/>
    <w:uiPriority w:val="99"/>
    <w:unhideWhenUsed/>
    <w:rsid w:val="00AF2A6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F2A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CB6B1-B9A9-4EFC-97EC-8A41F817E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896</Words>
  <Characters>5112</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Giuseppe Franco</dc:creator>
  <cp:lastModifiedBy>Simonetta Cesari</cp:lastModifiedBy>
  <cp:revision>5</cp:revision>
  <cp:lastPrinted>2015-09-30T11:42:00Z</cp:lastPrinted>
  <dcterms:created xsi:type="dcterms:W3CDTF">2016-01-11T07:41:00Z</dcterms:created>
  <dcterms:modified xsi:type="dcterms:W3CDTF">2016-02-29T07:44:00Z</dcterms:modified>
</cp:coreProperties>
</file>